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59" w:before="0" w:after="110"/>
        <w:ind w:right="193" w:hanging="0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drawing>
          <wp:anchor behindDoc="1" distT="0" distB="0" distL="0" distR="0" simplePos="0" locked="0" layoutInCell="1" allowOverlap="1" relativeHeight="2">
            <wp:simplePos x="0" y="0"/>
            <wp:positionH relativeFrom="page">
              <wp:posOffset>2407920</wp:posOffset>
            </wp:positionH>
            <wp:positionV relativeFrom="paragraph">
              <wp:posOffset>-252095</wp:posOffset>
            </wp:positionV>
            <wp:extent cx="2725420" cy="1068705"/>
            <wp:effectExtent l="0" t="0" r="0" b="0"/>
            <wp:wrapSquare wrapText="largest"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44" t="-112" r="-44" b="-1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5420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59" w:before="0" w:after="110"/>
        <w:ind w:right="193" w:hanging="0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spacing w:lineRule="auto" w:line="259" w:before="0" w:after="110"/>
        <w:ind w:right="193" w:hanging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59" w:before="0" w:after="110"/>
        <w:ind w:right="193" w:hanging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Gwka"/>
        <w:jc w:val="center"/>
        <w:rPr/>
      </w:pPr>
      <w:r>
        <w:rPr>
          <w:rFonts w:cs="Open Sans;Segoe UI" w:ascii="Open Sans;Segoe UI" w:hAnsi="Open Sans;Segoe UI"/>
          <w:color w:val="000000"/>
          <w:szCs w:val="28"/>
        </w:rPr>
        <w:t>Ul. Brazylijska 10a lok. 37</w:t>
      </w:r>
    </w:p>
    <w:p>
      <w:pPr>
        <w:pStyle w:val="Gwka"/>
        <w:spacing w:lineRule="auto" w:line="259" w:before="0" w:after="0"/>
        <w:ind w:right="134" w:hanging="0"/>
        <w:jc w:val="center"/>
        <w:rPr>
          <w:rFonts w:ascii="Arial" w:hAnsi="Arial" w:cs="Arial"/>
        </w:rPr>
      </w:pPr>
      <w:r>
        <w:rPr>
          <w:rFonts w:cs="Open Sans;Segoe UI" w:ascii="Open Sans;Segoe UI" w:hAnsi="Open Sans;Segoe UI"/>
          <w:color w:val="000000"/>
          <w:szCs w:val="28"/>
        </w:rPr>
        <w:t>03-946 Warszawa</w:t>
      </w:r>
    </w:p>
    <w:p>
      <w:pPr>
        <w:pStyle w:val="Gwka"/>
        <w:spacing w:lineRule="auto" w:line="259" w:before="0" w:after="0"/>
        <w:ind w:right="134" w:hanging="0"/>
        <w:jc w:val="center"/>
        <w:rPr>
          <w:rFonts w:ascii="Open Sans;Segoe UI" w:hAnsi="Open Sans;Segoe UI" w:cs="Open Sans;Segoe UI"/>
          <w:color w:val="000000"/>
          <w:szCs w:val="28"/>
        </w:rPr>
      </w:pPr>
      <w:r>
        <w:rPr>
          <w:rFonts w:cs="Open Sans;Segoe UI" w:ascii="Open Sans;Segoe UI" w:hAnsi="Open Sans;Segoe UI"/>
          <w:color w:val="000000"/>
          <w:szCs w:val="28"/>
        </w:rPr>
      </w:r>
    </w:p>
    <w:p>
      <w:pPr>
        <w:pStyle w:val="Normal"/>
        <w:spacing w:lineRule="auto" w:line="259" w:before="0" w:after="69"/>
        <w:ind w:right="199" w:hanging="0"/>
        <w:jc w:val="center"/>
        <w:rPr/>
      </w:pPr>
      <w:r>
        <w:rPr>
          <w:rFonts w:cs="Arial" w:ascii="Arial" w:hAnsi="Arial"/>
          <w:b/>
          <w:color w:val="000000"/>
          <w:sz w:val="36"/>
          <w:szCs w:val="36"/>
        </w:rPr>
        <w:t xml:space="preserve">Projekt stałej organizacji ruchu </w:t>
      </w:r>
    </w:p>
    <w:p>
      <w:pPr>
        <w:pStyle w:val="Normal"/>
        <w:spacing w:lineRule="auto" w:line="259" w:before="0" w:after="69"/>
        <w:ind w:right="199" w:hanging="0"/>
        <w:jc w:val="center"/>
        <w:rPr>
          <w:rFonts w:ascii="Arial" w:hAnsi="Arial" w:cs="Arial"/>
          <w:b/>
          <w:b/>
          <w:color w:val="000000"/>
          <w:sz w:val="24"/>
          <w:szCs w:val="24"/>
        </w:rPr>
      </w:pPr>
      <w:r>
        <w:rPr>
          <w:rFonts w:cs="Arial" w:ascii="Arial" w:hAnsi="Arial"/>
          <w:b/>
          <w:color w:val="000000"/>
          <w:sz w:val="36"/>
          <w:szCs w:val="36"/>
        </w:rPr>
        <w:t>oznakowanie pionowe i poziome budowy drogi dla rowerów i pieszych</w:t>
      </w:r>
      <w:r>
        <w:rPr>
          <w:rFonts w:cs="Arial" w:ascii="Arial" w:hAnsi="Arial"/>
          <w:b/>
          <w:color w:val="000000"/>
          <w:sz w:val="36"/>
          <w:szCs w:val="36"/>
        </w:rPr>
        <w:br/>
        <w:t>w ramach zadania:</w:t>
      </w:r>
    </w:p>
    <w:p>
      <w:pPr>
        <w:pStyle w:val="Normal"/>
        <w:spacing w:lineRule="auto" w:line="259" w:before="0" w:after="69"/>
        <w:ind w:right="199" w:hanging="0"/>
        <w:jc w:val="center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  <w:t>Rewitalizacja terenów nad Utratą w Chodakowie – etap II – Zagospodarowanie terenów nadbrzeżnych rzeki” w ramach zadania: Poprawa jakości środowiska miejskiego w Sochaczewie poprzez renowację i rozwój terenów zieleni.</w:t>
      </w:r>
    </w:p>
    <w:p>
      <w:pPr>
        <w:pStyle w:val="Normal"/>
        <w:spacing w:lineRule="auto" w:line="259" w:before="0" w:after="117"/>
        <w:ind w:right="134" w:hanging="0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 w:before="180" w:after="0"/>
        <w:rPr/>
      </w:pPr>
      <w:r>
        <w:rPr>
          <w:rFonts w:eastAsia="Times New Roman" w:cs="Arial"/>
          <w:b/>
          <w:bCs/>
          <w:caps/>
          <w:sz w:val="22"/>
          <w:szCs w:val="22"/>
        </w:rPr>
        <w:t xml:space="preserve">OBIEKT BUDOWLANY </w:t>
      </w:r>
      <w:r>
        <w:rPr>
          <w:rFonts w:eastAsia="Times New Roman" w:cs="Arial"/>
          <w:caps/>
          <w:sz w:val="22"/>
          <w:szCs w:val="22"/>
        </w:rPr>
        <w:t>(</w:t>
      </w:r>
      <w:r>
        <w:rPr>
          <w:rFonts w:eastAsia="Times New Roman" w:cs="Arial"/>
          <w:sz w:val="22"/>
          <w:szCs w:val="22"/>
        </w:rPr>
        <w:t>nazwa, adres, numery działek</w:t>
      </w:r>
      <w:r>
        <w:rPr>
          <w:rFonts w:eastAsia="Times New Roman" w:cs="Arial"/>
          <w:caps/>
          <w:sz w:val="22"/>
          <w:szCs w:val="22"/>
        </w:rPr>
        <w:t xml:space="preserve">): </w:t>
      </w:r>
    </w:p>
    <w:p>
      <w:pPr>
        <w:pStyle w:val="Normal"/>
        <w:jc w:val="right"/>
        <w:rPr/>
      </w:pPr>
      <w:r>
        <w:rPr>
          <w:rFonts w:cs="Arial"/>
          <w:b w:val="false"/>
          <w:bCs w:val="false"/>
          <w:color w:val="000000"/>
          <w:sz w:val="20"/>
        </w:rPr>
        <w:t>Nadbrzeże rzeki Utraty – w kwartale pomiędzy ulicami: Grunwaldzką, Młynarską, Parkową  w Sochaczewie.</w:t>
      </w:r>
    </w:p>
    <w:p>
      <w:pPr>
        <w:pStyle w:val="Normal"/>
        <w:jc w:val="right"/>
        <w:rPr/>
      </w:pPr>
      <w:r>
        <w:rPr>
          <w:rFonts w:cs="Arial"/>
          <w:b w:val="false"/>
          <w:bCs w:val="false"/>
          <w:color w:val="000000"/>
          <w:sz w:val="20"/>
        </w:rPr>
        <w:t xml:space="preserve">Działka nr ewidencyjny </w:t>
      </w:r>
      <w:bookmarkStart w:id="0" w:name="_Hlk509754626"/>
      <w:r>
        <w:rPr>
          <w:rFonts w:cs="Arial"/>
          <w:b w:val="false"/>
          <w:bCs w:val="false"/>
          <w:color w:val="000000"/>
          <w:sz w:val="20"/>
        </w:rPr>
        <w:t>1441/12, 1801, 1443/52, 1443/48, 1443/49, obręb Chodaków</w:t>
      </w:r>
      <w:bookmarkEnd w:id="0"/>
      <w:r>
        <w:rPr>
          <w:rFonts w:cs="Arial"/>
          <w:b w:val="false"/>
          <w:bCs w:val="false"/>
          <w:color w:val="000000"/>
          <w:sz w:val="20"/>
        </w:rPr>
        <w:t xml:space="preserve"> , jednostka ew. 142801_1</w:t>
      </w:r>
    </w:p>
    <w:p>
      <w:pPr>
        <w:pStyle w:val="Normal"/>
        <w:spacing w:lineRule="auto" w:line="360"/>
        <w:jc w:val="right"/>
        <w:rPr>
          <w:rFonts w:cs="Arial"/>
          <w:color w:val="000000"/>
          <w:sz w:val="6"/>
          <w:szCs w:val="6"/>
        </w:rPr>
      </w:pPr>
      <w:r>
        <w:rPr>
          <w:rFonts w:cs="Arial"/>
          <w:color w:val="000000"/>
          <w:sz w:val="6"/>
          <w:szCs w:val="6"/>
        </w:rPr>
      </w:r>
    </w:p>
    <w:p>
      <w:pPr>
        <w:pStyle w:val="Normal"/>
        <w:pBdr>
          <w:bottom w:val="single" w:sz="2" w:space="0" w:color="808080"/>
        </w:pBdr>
        <w:spacing w:lineRule="auto" w:line="360"/>
        <w:rPr>
          <w:rFonts w:cs="Arial"/>
          <w:color w:val="000000"/>
          <w:sz w:val="6"/>
          <w:szCs w:val="6"/>
        </w:rPr>
      </w:pPr>
      <w:r>
        <w:rPr>
          <w:rFonts w:cs="Arial"/>
          <w:color w:val="000000"/>
          <w:sz w:val="6"/>
          <w:szCs w:val="6"/>
        </w:rPr>
      </w:r>
    </w:p>
    <w:p>
      <w:pPr>
        <w:pStyle w:val="Normal"/>
        <w:spacing w:lineRule="auto" w:line="360" w:before="60" w:after="0"/>
        <w:rPr/>
      </w:pPr>
      <w:r>
        <w:rPr>
          <w:rFonts w:eastAsia="Times New Roman" w:cs="Arial"/>
          <w:b/>
          <w:bCs/>
          <w:caps/>
          <w:color w:val="000000"/>
          <w:sz w:val="22"/>
          <w:szCs w:val="22"/>
        </w:rPr>
        <w:t>ZAMAWIAJĄCY</w:t>
      </w:r>
      <w:r>
        <w:rPr>
          <w:rFonts w:eastAsia="Times New Roman" w:cs="Arial"/>
          <w:color w:val="000000"/>
          <w:sz w:val="22"/>
          <w:szCs w:val="22"/>
        </w:rPr>
        <w:t xml:space="preserve"> </w:t>
      </w:r>
      <w:r>
        <w:rPr>
          <w:rFonts w:eastAsia="Times New Roman" w:cs="Arial"/>
          <w:caps/>
          <w:color w:val="000000"/>
          <w:sz w:val="22"/>
          <w:szCs w:val="22"/>
        </w:rPr>
        <w:t>(</w:t>
      </w:r>
      <w:r>
        <w:rPr>
          <w:rFonts w:eastAsia="Times New Roman" w:cs="Arial"/>
          <w:color w:val="000000"/>
          <w:sz w:val="22"/>
          <w:szCs w:val="22"/>
        </w:rPr>
        <w:t>nazwa, adres</w:t>
      </w:r>
      <w:r>
        <w:rPr>
          <w:rFonts w:eastAsia="Times New Roman" w:cs="Arial"/>
          <w:caps/>
          <w:color w:val="000000"/>
          <w:sz w:val="22"/>
          <w:szCs w:val="22"/>
        </w:rPr>
        <w:t>):</w:t>
      </w:r>
    </w:p>
    <w:p>
      <w:pPr>
        <w:pStyle w:val="Normal"/>
        <w:spacing w:lineRule="auto" w:line="360" w:before="60" w:after="0"/>
        <w:jc w:val="right"/>
        <w:rPr/>
      </w:pPr>
      <w:r>
        <w:rPr>
          <w:rFonts w:cs="Arial"/>
          <w:b w:val="false"/>
          <w:bCs w:val="false"/>
          <w:color w:val="000000"/>
          <w:sz w:val="20"/>
        </w:rPr>
        <w:t>Gmina Miasto Sochaczew</w:t>
      </w:r>
    </w:p>
    <w:p>
      <w:pPr>
        <w:pStyle w:val="Normal"/>
        <w:spacing w:lineRule="auto" w:line="360" w:before="60" w:after="0"/>
        <w:jc w:val="right"/>
        <w:rPr/>
      </w:pPr>
      <w:r>
        <w:rPr>
          <w:rFonts w:cs="Arial"/>
          <w:b w:val="false"/>
          <w:bCs w:val="false"/>
          <w:color w:val="000000"/>
          <w:sz w:val="20"/>
        </w:rPr>
        <w:t>Ul. 1 Maja 16</w:t>
      </w:r>
    </w:p>
    <w:p>
      <w:pPr>
        <w:pStyle w:val="Normal"/>
        <w:spacing w:lineRule="auto" w:line="360" w:before="60" w:after="0"/>
        <w:jc w:val="right"/>
        <w:rPr/>
      </w:pPr>
      <w:r>
        <w:rPr>
          <w:rFonts w:cs="Arial"/>
          <w:b w:val="false"/>
          <w:bCs w:val="false"/>
          <w:color w:val="000000"/>
          <w:sz w:val="20"/>
        </w:rPr>
        <w:t>96-500 Sochaczew</w:t>
      </w:r>
    </w:p>
    <w:p>
      <w:pPr>
        <w:pStyle w:val="Normal"/>
        <w:pBdr>
          <w:bottom w:val="single" w:sz="2" w:space="0" w:color="808080"/>
        </w:pBdr>
        <w:spacing w:lineRule="auto" w:line="360"/>
        <w:rPr>
          <w:rFonts w:cs="Arial"/>
          <w:b/>
          <w:b/>
          <w:bCs/>
          <w:color w:val="000000"/>
          <w:sz w:val="6"/>
          <w:szCs w:val="6"/>
        </w:rPr>
      </w:pPr>
      <w:r>
        <w:rPr>
          <w:rFonts w:cs="Arial"/>
          <w:b/>
          <w:bCs/>
          <w:color w:val="000000"/>
          <w:sz w:val="6"/>
          <w:szCs w:val="6"/>
        </w:rPr>
      </w:r>
    </w:p>
    <w:p>
      <w:pPr>
        <w:pStyle w:val="Normal"/>
        <w:spacing w:lineRule="auto" w:line="360" w:before="150" w:after="0"/>
        <w:rPr/>
      </w:pPr>
      <w:r>
        <w:rPr>
          <w:rFonts w:eastAsia="Times New Roman" w:cs="Arial"/>
          <w:b/>
          <w:bCs/>
          <w:caps/>
          <w:sz w:val="22"/>
          <w:szCs w:val="22"/>
        </w:rPr>
        <w:t xml:space="preserve">UMOWA </w:t>
      </w:r>
      <w:r>
        <w:rPr>
          <w:rFonts w:eastAsia="Times New Roman" w:cs="Arial"/>
          <w:sz w:val="22"/>
          <w:szCs w:val="22"/>
        </w:rPr>
        <w:t>(numer, data):</w:t>
      </w:r>
    </w:p>
    <w:p>
      <w:pPr>
        <w:pStyle w:val="Normal"/>
        <w:spacing w:lineRule="auto" w:line="360" w:before="0" w:after="121"/>
        <w:ind w:left="139" w:right="333" w:hanging="0"/>
        <w:jc w:val="right"/>
        <w:rPr>
          <w:rFonts w:ascii="Arial" w:hAnsi="Arial" w:cs="Arial"/>
          <w:b/>
          <w:b/>
        </w:rPr>
      </w:pPr>
      <w:r>
        <w:rPr>
          <w:rFonts w:eastAsia="Arial" w:cs="Arial" w:ascii="Arial" w:hAnsi="Arial"/>
          <w:b/>
          <w:bCs/>
          <w:color w:val="000000"/>
          <w:sz w:val="22"/>
          <w:szCs w:val="22"/>
        </w:rPr>
        <w:t xml:space="preserve"> </w:t>
      </w:r>
      <w:r>
        <w:rPr>
          <w:rFonts w:eastAsia="Arial" w:cs="Arial" w:ascii="Arial" w:hAnsi="Arial"/>
          <w:b/>
          <w:color w:val="000000"/>
          <w:sz w:val="22"/>
          <w:szCs w:val="22"/>
        </w:rPr>
        <w:t xml:space="preserve">                       </w:t>
      </w:r>
      <w:r>
        <w:rPr>
          <w:rFonts w:eastAsia="Arial" w:cs="Arial" w:ascii="Arial" w:hAnsi="Arial"/>
          <w:b w:val="false"/>
          <w:bCs w:val="false"/>
          <w:color w:val="000000"/>
          <w:sz w:val="22"/>
          <w:szCs w:val="22"/>
        </w:rPr>
        <w:t xml:space="preserve">            </w:t>
      </w:r>
      <w:r>
        <w:rPr>
          <w:rFonts w:cs="Arial" w:ascii="Arial" w:hAnsi="Arial"/>
          <w:b w:val="false"/>
          <w:bCs w:val="false"/>
          <w:color w:val="000000"/>
          <w:sz w:val="20"/>
          <w:shd w:fill="FFFFFF" w:val="clear"/>
        </w:rPr>
        <w:t>Umowa</w:t>
      </w:r>
      <w:r>
        <w:rPr>
          <w:rFonts w:cs="Arial" w:ascii="Arial" w:hAnsi="Arial"/>
          <w:b w:val="false"/>
          <w:bCs w:val="false"/>
          <w:color w:val="000000"/>
          <w:sz w:val="20"/>
        </w:rPr>
        <w:t xml:space="preserve"> z dnia 20.12.2017 r.</w:t>
      </w:r>
    </w:p>
    <w:p>
      <w:pPr>
        <w:pStyle w:val="Normal"/>
        <w:spacing w:lineRule="auto" w:line="259" w:before="0" w:after="121"/>
        <w:ind w:left="139" w:right="333" w:hanging="0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pBdr>
          <w:top w:val="single" w:sz="4" w:space="1" w:color="00000A"/>
        </w:pBdr>
        <w:spacing w:lineRule="auto" w:line="259" w:before="0" w:after="121"/>
        <w:ind w:left="139" w:right="333" w:hanging="0"/>
        <w:rPr>
          <w:rFonts w:ascii="Arial" w:hAnsi="Arial" w:cs="Arial"/>
        </w:rPr>
      </w:pPr>
      <w:r>
        <w:rPr>
          <w:rFonts w:cs="Arial" w:ascii="Arial" w:hAnsi="Arial"/>
          <w:b/>
        </w:rPr>
        <w:t xml:space="preserve">PROJEKTANCI </w:t>
      </w:r>
      <w:r>
        <w:rPr>
          <w:rFonts w:cs="Arial" w:ascii="Arial" w:hAnsi="Arial"/>
        </w:rPr>
        <w:t>(specjalność, zakres opracowania, tytuł, imię, nazwisko, uprawnienia):</w:t>
      </w:r>
    </w:p>
    <w:p>
      <w:pPr>
        <w:pStyle w:val="Normal"/>
        <w:ind w:left="139" w:hanging="0"/>
        <w:rPr>
          <w:rFonts w:ascii="Arial" w:hAnsi="Arial" w:cs="Arial"/>
        </w:rPr>
      </w:pPr>
      <w:r>
        <w:rPr>
          <w:rFonts w:cs="Arial" w:ascii="Arial" w:hAnsi="Arial"/>
        </w:rPr>
        <w:t xml:space="preserve">mgr inż. arch. kraj. Urszula ĆWIEK </w:t>
      </w:r>
    </w:p>
    <w:p>
      <w:pPr>
        <w:pStyle w:val="Normal"/>
        <w:ind w:left="139" w:hanging="0"/>
        <w:rPr>
          <w:rFonts w:ascii="Arial" w:hAnsi="Arial" w:cs="Arial"/>
        </w:rPr>
      </w:pPr>
      <w:r>
        <w:rPr>
          <w:rFonts w:cs="Arial" w:ascii="Arial" w:hAnsi="Arial"/>
        </w:rPr>
        <w:t xml:space="preserve">mgr inż. arch. kraj. Weronika Wójtowicz </w:t>
      </w:r>
    </w:p>
    <w:p>
      <w:pPr>
        <w:pStyle w:val="Normal"/>
        <w:ind w:left="139" w:right="-142" w:hanging="0"/>
        <w:rPr/>
      </w:pPr>
      <w:r>
        <w:rPr>
          <w:rFonts w:cs="Arial" w:ascii="Arial" w:hAnsi="Arial"/>
        </w:rPr>
        <w:t>mgr. inż. arch. kraj. Mateusz Rychter</w:t>
      </w:r>
    </w:p>
    <w:p>
      <w:pPr>
        <w:pStyle w:val="Normal"/>
        <w:ind w:left="139" w:right="-142" w:hanging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139" w:right="-142" w:hanging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pBdr>
          <w:top w:val="single" w:sz="4" w:space="1" w:color="00000A"/>
        </w:pBdr>
        <w:spacing w:lineRule="auto" w:line="259" w:before="0" w:after="209"/>
        <w:ind w:right="194" w:hanging="0"/>
        <w:jc w:val="center"/>
        <w:rPr>
          <w:rFonts w:ascii="Arial" w:hAnsi="Arial" w:cs="Arial"/>
        </w:rPr>
      </w:pPr>
      <w:r>
        <w:rPr>
          <w:rFonts w:eastAsia="Segoe UI" w:cs="Arial" w:ascii="Arial" w:hAnsi="Arial"/>
          <w:color w:val="000000"/>
        </w:rPr>
        <w:t>Warszawa, marzec 2018</w:t>
      </w:r>
    </w:p>
    <w:p>
      <w:pPr>
        <w:pStyle w:val="Normal"/>
        <w:spacing w:lineRule="auto" w:line="360"/>
        <w:jc w:val="right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Część: Organizacja ruchu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Podstawa opracowania</w:t>
      </w:r>
    </w:p>
    <w:p>
      <w:pPr>
        <w:pStyle w:val="Normal"/>
        <w:spacing w:lineRule="auto" w:line="360"/>
        <w:jc w:val="both"/>
        <w:rPr/>
      </w:pPr>
      <w:r>
        <w:rPr>
          <w:rFonts w:cs="Arial" w:ascii="Arial" w:hAnsi="Arial"/>
          <w:sz w:val="20"/>
          <w:szCs w:val="20"/>
        </w:rPr>
        <w:tab/>
        <w:t xml:space="preserve">Projekt został wykonany na podstawie </w:t>
      </w:r>
    </w:p>
    <w:p>
      <w:pPr>
        <w:pStyle w:val="Normal"/>
        <w:spacing w:lineRule="auto" w:line="360"/>
        <w:jc w:val="both"/>
        <w:rPr/>
      </w:pPr>
      <w:r>
        <w:rPr>
          <w:rFonts w:cs="Arial" w:ascii="Arial" w:hAnsi="Arial"/>
          <w:sz w:val="20"/>
          <w:szCs w:val="20"/>
        </w:rPr>
        <w:t>- umowy z zamawiającym - Gmina Sochaczew,</w:t>
      </w:r>
    </w:p>
    <w:p>
      <w:pPr>
        <w:pStyle w:val="Normal"/>
        <w:spacing w:lineRule="auto" w:line="360"/>
        <w:jc w:val="both"/>
        <w:rPr/>
      </w:pPr>
      <w:r>
        <w:rPr>
          <w:rFonts w:cs="Arial" w:ascii="Arial" w:hAnsi="Arial"/>
          <w:sz w:val="20"/>
          <w:szCs w:val="20"/>
        </w:rPr>
        <w:t>- mapy sytuacyjno-wysokościowej z uzbrojeniem terenu w skali 1:500, wizji terenowej, pomiary uzupełniające oraz szczegółowe warunki techniczne oznakowanie i warunki ich umieszczania na drogach.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</w:rPr>
        <w:t>- Rozporządzenia Ministra Infrastruktury z dnia 23 września 2003 r. w sprawie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</w:rPr>
        <w:t>szczegółowych warunków zarządzania ruchem na drogach oraz wykonywania nadzoru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</w:rPr>
        <w:t>nad tym zarządzaniem (Dz. U. nr 177 z 2003 r., poz. 1729).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</w:rPr>
        <w:t>- Rozporządzenia Ministra Infrastruktury z dnia 3 lipca 2003 r. w sprawie szczegółowych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</w:rPr>
        <w:t>warunków technicznych dla znaków i sygnałów drogowych oraz urządzeń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</w:rPr>
        <w:t>bezpieczeństwa ruchu drogowego i warunków ich umieszczania na drogach (Dz. U. nr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</w:rPr>
        <w:t>220 z 2003 r. poz. 2181 z późn. zm.).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Przedmiot opracowania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 xml:space="preserve">Przedmiotem opracowania jest uproszczony projekt organizacji ruchu w skład którego wchodzi oznakowanie pionowe dla budowy ścieżki pieszo-rowerowej na terenie zieleni w Sochaczewie - Chodakowie. 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Projekt wykonywany w ramach rewitalizacja nadbrzeża rzeki Utraty – w kwartale pomiędzy ulicami: Grunwaldzką, Młynarską, Parkową w Sochaczewie.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Działka nr ewidencyjny 1441/12, 1801, 1443/52, 1443/48, 1443/49, 1441/7, 1441/8 obręb Chodaków.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 xml:space="preserve">Zakres opracowania 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>Zakres obejmuje oznakowanie pionowe ścieżki pieszo-rowerowej.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Ogólny zakres przedsięwzięcia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 xml:space="preserve">Teren objęty opracowanie znajduję się w województwie mazowieckim, w powiecie sochaczewskim, w gminie Sochaczew. Budowa ciągu pieszo-rowerowego, wraz z ogólnym zagospodarowaniem terenów parkowych ma za zadanie podniesienie atrakcyjności tej części miejscowości  oraz umożliwienie bezpieczne poruszanie się pieszych i rowerzystów po terenie parku. 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Stan istniejący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 xml:space="preserve">Teren znajduje się nad rzeką Utratą, w kwartale pomiędzy ulicami Grunwaldzką, Młynarską </w:t>
        <w:br/>
        <w:t xml:space="preserve">i Parkową w miejscowości Sochaczew. Obszar porośnięty jest drzewami i grupami krzewów, jest miejscem dziewiczym, pozbawionym utwardzonych ciągów pieszych oraz elementów małej architektury. Użytkowany jest głównie przez pobliskich mieszkańców bloków. 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Stan projektowany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Oznakowanie pionowe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 xml:space="preserve">W ramach planowanej inwestycji przewiduje się budowę ścieżki pieszo-rowerowej </w:t>
        <w:br/>
        <w:t xml:space="preserve">o szerokości 3,0 m i łącznej długości 607,43 m. Brak jest rozdzielenia ścieżki dla pieszych </w:t>
        <w:br/>
        <w:t>i rowerzystów. Przewidziano ustawienie znaku pionowego C-13/C-16, oddzielone kreską poziomą, wskazujący na odbywanie się ruchu pieszego i rowerowego na całej powierzchni tak oznakowanej drogi oraz znaku pionowego C-13a/C-16a. Znaki ustawione od ul. Grunwaldzkiej na początku ścieżki pieszo-rowerowej przy stronie lewej. Słupki znaków kotwione w gruncie na fundamencie betonowym (C15/20). Przewidziano również ustawienie dwóch znaków pionowych D-6, 0,5 m od krawędzi przejścia dla pieszych umiejscowionego przy ul. Grunwaldzkiej, umieszczonych od prawej strony jezdni.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>Wymagania techniczne dla znaków drogowych: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- tarcze  znaków  winny  być  wyprodukowane  z  blachy ocynkowanej o gr. min. 1,15 mm zaginanej krawędziowo,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- tarcze  znaków   winny  być  wzmocnione  profilami   konstrukcyjno-montażowymi  umieszczonymi  </w:t>
        <w:br/>
        <w:t>w  układzie   poziomym  o   długości min. 80% szerokości tarczy znaku,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- tylna strona tarczy winna być zabezpieczona matową farbą nie odblaskową barwy ciemnoszarej </w:t>
        <w:br/>
        <w:t>o grubości  powłoki  min. 30 mikronów,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- folia odblaskowa I generacji do znaków użyta do wykonania lica znaku powinna wykazywać pełne  związanie z tarczą znaku przez cały okres ustawienia znaku,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- każdy powtarzalny symbol znaku winien być wykonany metodą sitodruku,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- każdy znak drogowy winien posiadać tabliczkę informacyjną zawierającą następujące dane: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>a) nazwę wytwórcy znaków,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>b) datę produkcji,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>c) oznaczenia dotyczące parametrów odblaskowych lica znaku.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Stosuje sie piec grup wielkości znaków: ostrzegawczych, zakazu, nakazu, informacyjnych oraz kierunku i miejscowości, a mianowicie: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a) znaki wielkie (W)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— </w:t>
      </w:r>
      <w:r>
        <w:rPr>
          <w:rFonts w:cs="Arial" w:ascii="Arial" w:hAnsi="Arial"/>
          <w:sz w:val="20"/>
          <w:szCs w:val="20"/>
        </w:rPr>
        <w:t>na autostradach, umieszczane przy jezdniach głównych,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b) znaki duże (D):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— </w:t>
      </w:r>
      <w:r>
        <w:rPr>
          <w:rFonts w:cs="Arial" w:ascii="Arial" w:hAnsi="Arial"/>
          <w:sz w:val="20"/>
          <w:szCs w:val="20"/>
        </w:rPr>
        <w:t>na drogach ekspresowych, umieszczane przy jezdniach głównych,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— </w:t>
      </w:r>
      <w:r>
        <w:rPr>
          <w:rFonts w:cs="Arial" w:ascii="Arial" w:hAnsi="Arial"/>
          <w:sz w:val="20"/>
          <w:szCs w:val="20"/>
        </w:rPr>
        <w:t>na drogach dwujezdniowych poza obszarem zabudowanym,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— </w:t>
      </w:r>
      <w:r>
        <w:rPr>
          <w:rFonts w:cs="Arial" w:ascii="Arial" w:hAnsi="Arial"/>
          <w:sz w:val="20"/>
          <w:szCs w:val="20"/>
        </w:rPr>
        <w:t>na drogach dwujezdniowych w obszarze za-budowanym, na których dopuszczalna prędkości jest większa niż 60 km/h,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c) znaki średnie (S):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— </w:t>
      </w:r>
      <w:r>
        <w:rPr>
          <w:rFonts w:cs="Arial" w:ascii="Arial" w:hAnsi="Arial"/>
          <w:sz w:val="20"/>
          <w:szCs w:val="20"/>
        </w:rPr>
        <w:t>na łączeniach autostrad i dróg ekspresowych,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— </w:t>
      </w:r>
      <w:r>
        <w:rPr>
          <w:rFonts w:cs="Arial" w:ascii="Arial" w:hAnsi="Arial"/>
          <w:sz w:val="20"/>
          <w:szCs w:val="20"/>
        </w:rPr>
        <w:t>na jedno jezdniowych drogach krajowych i wojewódzkich,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— </w:t>
      </w:r>
      <w:r>
        <w:rPr>
          <w:rFonts w:cs="Arial" w:ascii="Arial" w:hAnsi="Arial"/>
          <w:sz w:val="20"/>
          <w:szCs w:val="20"/>
        </w:rPr>
        <w:t>na drogach powiatowych, z wyjątkiem drogowskazów tablicowych,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d) znaki małe (M):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— </w:t>
      </w:r>
      <w:r>
        <w:rPr>
          <w:rFonts w:cs="Arial" w:ascii="Arial" w:hAnsi="Arial"/>
          <w:sz w:val="20"/>
          <w:szCs w:val="20"/>
        </w:rPr>
        <w:t>na drogach gminnych,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— </w:t>
      </w:r>
      <w:r>
        <w:rPr>
          <w:rFonts w:cs="Arial" w:ascii="Arial" w:hAnsi="Arial"/>
          <w:sz w:val="20"/>
          <w:szCs w:val="20"/>
        </w:rPr>
        <w:t>drogowskazy tablicowe na drogach powiatowych,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e) znaki mini (Ml):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— </w:t>
      </w:r>
      <w:r>
        <w:rPr>
          <w:rFonts w:cs="Arial" w:ascii="Arial" w:hAnsi="Arial"/>
          <w:sz w:val="20"/>
          <w:szCs w:val="20"/>
        </w:rPr>
        <w:t>na słupkach przeszkodowych i tablicach kierujących,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— </w:t>
      </w:r>
      <w:r>
        <w:rPr>
          <w:rFonts w:cs="Arial" w:ascii="Arial" w:hAnsi="Arial"/>
          <w:sz w:val="20"/>
          <w:szCs w:val="20"/>
        </w:rPr>
        <w:t>na drogach w obszarze zabudowanym, gdy warunki drogowe nie pozwalają na stosowanie znaków większych lub zastosowanie większych znaków pogorszyłoby warunki widoczności pieszych na przejściu dla pieszych,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— </w:t>
      </w:r>
      <w:r>
        <w:rPr>
          <w:rFonts w:cs="Arial" w:ascii="Arial" w:hAnsi="Arial"/>
          <w:sz w:val="20"/>
          <w:szCs w:val="20"/>
        </w:rPr>
        <w:t>na wąskich uliczkach zabytkowych miast.</w:t>
      </w:r>
    </w:p>
    <w:p>
      <w:pPr>
        <w:pStyle w:val="Normal"/>
        <w:spacing w:lineRule="auto" w:line="360"/>
        <w:jc w:val="both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Tabela 1.1. Podstawowe wymiary znaków kategorii A, B, C i D (wymiary podano w mm)</w:t>
      </w:r>
    </w:p>
    <w:tbl>
      <w:tblPr>
        <w:tblW w:w="8897" w:type="dxa"/>
        <w:jc w:val="left"/>
        <w:tblInd w:w="-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-5" w:type="dxa"/>
          <w:bottom w:w="0" w:type="dxa"/>
          <w:right w:w="0" w:type="dxa"/>
        </w:tblCellMar>
        <w:tblLook w:val="04a0"/>
      </w:tblPr>
      <w:tblGrid>
        <w:gridCol w:w="1307"/>
        <w:gridCol w:w="1309"/>
        <w:gridCol w:w="1611"/>
        <w:gridCol w:w="1023"/>
        <w:gridCol w:w="992"/>
        <w:gridCol w:w="1158"/>
        <w:gridCol w:w="1496"/>
      </w:tblGrid>
      <w:tr>
        <w:trPr/>
        <w:tc>
          <w:tcPr>
            <w:tcW w:w="130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444444"/>
                <w:sz w:val="18"/>
                <w:lang w:eastAsia="pl-PL"/>
              </w:rPr>
              <w:t>Grupy znaków</w:t>
            </w:r>
          </w:p>
        </w:tc>
        <w:tc>
          <w:tcPr>
            <w:tcW w:w="13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444444"/>
                <w:sz w:val="18"/>
                <w:lang w:eastAsia="pl-PL"/>
              </w:rPr>
              <w:t>Symbol</w:t>
            </w:r>
          </w:p>
        </w:tc>
        <w:tc>
          <w:tcPr>
            <w:tcW w:w="628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  <w:br/>
            </w:r>
            <w:r>
              <w:rPr>
                <w:rFonts w:eastAsia="Times New Roman" w:cs="Arial" w:ascii="Arial" w:hAnsi="Arial"/>
                <w:b/>
                <w:bCs/>
                <w:color w:val="444444"/>
                <w:sz w:val="18"/>
                <w:lang w:eastAsia="pl-PL"/>
              </w:rPr>
              <w:t>Kategorie znaków</w:t>
            </w:r>
          </w:p>
        </w:tc>
      </w:tr>
      <w:tr>
        <w:trPr/>
        <w:tc>
          <w:tcPr>
            <w:tcW w:w="130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top w:w="30" w:type="dxa"/>
              <w:left w:w="25" w:type="dxa"/>
              <w:bottom w:w="30" w:type="dxa"/>
              <w:right w:w="30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</w:r>
          </w:p>
        </w:tc>
        <w:tc>
          <w:tcPr>
            <w:tcW w:w="130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top w:w="30" w:type="dxa"/>
              <w:left w:w="25" w:type="dxa"/>
              <w:bottom w:w="30" w:type="dxa"/>
              <w:right w:w="30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</w:r>
          </w:p>
        </w:tc>
        <w:tc>
          <w:tcPr>
            <w:tcW w:w="1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uto" w:line="240" w:before="0" w:after="187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444444"/>
                <w:sz w:val="18"/>
                <w:lang w:eastAsia="pl-PL"/>
              </w:rPr>
              <w:t>A</w:t>
            </w:r>
          </w:p>
          <w:p>
            <w:pPr>
              <w:pStyle w:val="Normal"/>
              <w:spacing w:lineRule="auto" w:line="240" w:before="0" w:after="187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444444"/>
                <w:sz w:val="18"/>
                <w:lang w:eastAsia="pl-PL"/>
              </w:rPr>
              <w:t>Ostrzegawcze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uto" w:line="240" w:before="0" w:after="187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444444"/>
                <w:sz w:val="18"/>
                <w:lang w:eastAsia="pl-PL"/>
              </w:rPr>
              <w:t>B</w:t>
            </w:r>
          </w:p>
          <w:p>
            <w:pPr>
              <w:pStyle w:val="Normal"/>
              <w:spacing w:lineRule="auto" w:line="240" w:before="0" w:after="187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444444"/>
                <w:sz w:val="18"/>
                <w:lang w:eastAsia="pl-PL"/>
              </w:rPr>
              <w:t>Nakazu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uto" w:line="240" w:before="0" w:after="187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444444"/>
                <w:sz w:val="18"/>
                <w:lang w:eastAsia="pl-PL"/>
              </w:rPr>
              <w:t>C</w:t>
            </w:r>
          </w:p>
          <w:p>
            <w:pPr>
              <w:pStyle w:val="Normal"/>
              <w:spacing w:lineRule="auto" w:line="240" w:before="0" w:after="187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444444"/>
                <w:sz w:val="18"/>
                <w:lang w:eastAsia="pl-PL"/>
              </w:rPr>
              <w:t>Zakazu</w:t>
            </w:r>
          </w:p>
        </w:tc>
        <w:tc>
          <w:tcPr>
            <w:tcW w:w="265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  <w:br/>
            </w:r>
          </w:p>
          <w:p>
            <w:pPr>
              <w:pStyle w:val="Normal"/>
              <w:spacing w:lineRule="auto" w:line="240" w:before="0" w:after="187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444444"/>
                <w:sz w:val="18"/>
                <w:lang w:eastAsia="pl-PL"/>
              </w:rPr>
              <w:t>D</w:t>
            </w:r>
          </w:p>
          <w:p>
            <w:pPr>
              <w:pStyle w:val="Normal"/>
              <w:spacing w:lineRule="auto" w:line="240" w:before="0" w:after="187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444444"/>
                <w:sz w:val="18"/>
                <w:lang w:eastAsia="pl-PL"/>
              </w:rPr>
              <w:t>Informacyjne</w:t>
            </w:r>
          </w:p>
        </w:tc>
      </w:tr>
      <w:tr>
        <w:trPr/>
        <w:tc>
          <w:tcPr>
            <w:tcW w:w="130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top w:w="30" w:type="dxa"/>
              <w:left w:w="25" w:type="dxa"/>
              <w:bottom w:w="30" w:type="dxa"/>
              <w:right w:w="30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</w:r>
          </w:p>
        </w:tc>
        <w:tc>
          <w:tcPr>
            <w:tcW w:w="130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top w:w="30" w:type="dxa"/>
              <w:left w:w="25" w:type="dxa"/>
              <w:bottom w:w="30" w:type="dxa"/>
              <w:right w:w="30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</w:r>
          </w:p>
        </w:tc>
        <w:tc>
          <w:tcPr>
            <w:tcW w:w="1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444444"/>
                <w:sz w:val="18"/>
                <w:lang w:eastAsia="pl-PL"/>
              </w:rPr>
              <w:t>długość</w:t>
            </w: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  <w:br/>
            </w:r>
            <w:r>
              <w:rPr>
                <w:rFonts w:eastAsia="Times New Roman" w:cs="Arial" w:ascii="Arial" w:hAnsi="Arial"/>
                <w:b/>
                <w:bCs/>
                <w:color w:val="444444"/>
                <w:sz w:val="18"/>
                <w:lang w:eastAsia="pl-PL"/>
              </w:rPr>
              <w:t>boku</w:t>
            </w:r>
          </w:p>
        </w:tc>
        <w:tc>
          <w:tcPr>
            <w:tcW w:w="20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444444"/>
                <w:sz w:val="18"/>
                <w:lang w:eastAsia="pl-PL"/>
              </w:rPr>
              <w:t>średnica</w:t>
            </w:r>
          </w:p>
        </w:tc>
        <w:tc>
          <w:tcPr>
            <w:tcW w:w="1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444444"/>
                <w:sz w:val="18"/>
                <w:lang w:eastAsia="pl-PL"/>
              </w:rPr>
              <w:t>długość</w:t>
            </w: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  <w:br/>
            </w:r>
            <w:r>
              <w:rPr>
                <w:rFonts w:eastAsia="Times New Roman" w:cs="Arial" w:ascii="Arial" w:hAnsi="Arial"/>
                <w:b/>
                <w:bCs/>
                <w:color w:val="444444"/>
                <w:sz w:val="18"/>
                <w:lang w:eastAsia="pl-PL"/>
              </w:rPr>
              <w:t>podstawy</w:t>
            </w:r>
          </w:p>
        </w:tc>
        <w:tc>
          <w:tcPr>
            <w:tcW w:w="1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444444"/>
                <w:sz w:val="18"/>
                <w:lang w:eastAsia="pl-PL"/>
              </w:rPr>
              <w:t>wysokość</w:t>
            </w: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  <w:br/>
            </w:r>
            <w:r>
              <w:rPr>
                <w:rFonts w:eastAsia="Times New Roman" w:cs="Arial" w:ascii="Arial" w:hAnsi="Arial"/>
                <w:b/>
                <w:bCs/>
                <w:color w:val="444444"/>
                <w:sz w:val="18"/>
                <w:lang w:eastAsia="pl-PL"/>
              </w:rPr>
              <w:t>n=(0, 1, 2)</w:t>
            </w:r>
          </w:p>
        </w:tc>
      </w:tr>
      <w:tr>
        <w:trPr>
          <w:trHeight w:val="187" w:hRule="atLeast"/>
        </w:trPr>
        <w:tc>
          <w:tcPr>
            <w:tcW w:w="1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tLeast" w:line="187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444444"/>
                <w:sz w:val="18"/>
                <w:lang w:eastAsia="pl-PL"/>
              </w:rPr>
              <w:t>wielkie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tLeast" w:line="187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  <w:t>W</w:t>
            </w:r>
          </w:p>
        </w:tc>
        <w:tc>
          <w:tcPr>
            <w:tcW w:w="1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tLeast" w:line="187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  <w:t>1200</w:t>
            </w:r>
          </w:p>
        </w:tc>
        <w:tc>
          <w:tcPr>
            <w:tcW w:w="20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tLeast" w:line="187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  <w:t>1000</w:t>
            </w:r>
          </w:p>
        </w:tc>
        <w:tc>
          <w:tcPr>
            <w:tcW w:w="1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tLeast" w:line="187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  <w:t>1200</w:t>
            </w:r>
          </w:p>
        </w:tc>
        <w:tc>
          <w:tcPr>
            <w:tcW w:w="1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tLeast" w:line="187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  <w:t>1200+300n</w:t>
            </w:r>
          </w:p>
        </w:tc>
      </w:tr>
      <w:tr>
        <w:trPr>
          <w:trHeight w:val="187" w:hRule="atLeast"/>
        </w:trPr>
        <w:tc>
          <w:tcPr>
            <w:tcW w:w="1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tLeast" w:line="187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444444"/>
                <w:sz w:val="18"/>
                <w:lang w:eastAsia="pl-PL"/>
              </w:rPr>
              <w:t>duże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tLeast" w:line="187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  <w:t>D</w:t>
            </w:r>
          </w:p>
        </w:tc>
        <w:tc>
          <w:tcPr>
            <w:tcW w:w="1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tLeast" w:line="187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  <w:t>1050</w:t>
            </w:r>
          </w:p>
        </w:tc>
        <w:tc>
          <w:tcPr>
            <w:tcW w:w="20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tLeast" w:line="187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  <w:t>900</w:t>
            </w:r>
          </w:p>
        </w:tc>
        <w:tc>
          <w:tcPr>
            <w:tcW w:w="1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tLeast" w:line="187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  <w:t>900</w:t>
            </w:r>
          </w:p>
        </w:tc>
        <w:tc>
          <w:tcPr>
            <w:tcW w:w="1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tLeast" w:line="187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  <w:t>900+225n</w:t>
            </w:r>
          </w:p>
        </w:tc>
      </w:tr>
      <w:tr>
        <w:trPr>
          <w:trHeight w:val="187" w:hRule="atLeast"/>
        </w:trPr>
        <w:tc>
          <w:tcPr>
            <w:tcW w:w="1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tLeast" w:line="187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444444"/>
                <w:sz w:val="18"/>
                <w:lang w:eastAsia="pl-PL"/>
              </w:rPr>
              <w:t>średnie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tLeast" w:line="187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  <w:t>S</w:t>
            </w:r>
          </w:p>
        </w:tc>
        <w:tc>
          <w:tcPr>
            <w:tcW w:w="1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tLeast" w:line="187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  <w:t>900</w:t>
            </w:r>
          </w:p>
        </w:tc>
        <w:tc>
          <w:tcPr>
            <w:tcW w:w="20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tLeast" w:line="187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  <w:t>800</w:t>
            </w:r>
          </w:p>
        </w:tc>
        <w:tc>
          <w:tcPr>
            <w:tcW w:w="1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tLeast" w:line="187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  <w:t>600</w:t>
            </w:r>
          </w:p>
        </w:tc>
        <w:tc>
          <w:tcPr>
            <w:tcW w:w="1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tLeast" w:line="187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  <w:t>600+150n</w:t>
            </w:r>
          </w:p>
        </w:tc>
      </w:tr>
      <w:tr>
        <w:trPr>
          <w:trHeight w:val="187" w:hRule="atLeast"/>
        </w:trPr>
        <w:tc>
          <w:tcPr>
            <w:tcW w:w="1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tLeast" w:line="187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444444"/>
                <w:sz w:val="18"/>
                <w:lang w:eastAsia="pl-PL"/>
              </w:rPr>
              <w:t>małe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tLeast" w:line="187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  <w:t>M</w:t>
            </w:r>
          </w:p>
        </w:tc>
        <w:tc>
          <w:tcPr>
            <w:tcW w:w="1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tLeast" w:line="187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  <w:t>750</w:t>
            </w:r>
          </w:p>
        </w:tc>
        <w:tc>
          <w:tcPr>
            <w:tcW w:w="20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tLeast" w:line="187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  <w:t>600</w:t>
            </w:r>
          </w:p>
        </w:tc>
        <w:tc>
          <w:tcPr>
            <w:tcW w:w="1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tLeast" w:line="187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  <w:t>600</w:t>
            </w:r>
          </w:p>
        </w:tc>
        <w:tc>
          <w:tcPr>
            <w:tcW w:w="1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tLeast" w:line="187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  <w:t>600+150n</w:t>
            </w:r>
          </w:p>
        </w:tc>
      </w:tr>
      <w:tr>
        <w:trPr>
          <w:trHeight w:val="187" w:hRule="atLeast"/>
        </w:trPr>
        <w:tc>
          <w:tcPr>
            <w:tcW w:w="1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tLeast" w:line="187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444444"/>
                <w:sz w:val="18"/>
                <w:lang w:eastAsia="pl-PL"/>
              </w:rPr>
              <w:t>mini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tLeast" w:line="187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  <w:t>MI</w:t>
            </w:r>
          </w:p>
        </w:tc>
        <w:tc>
          <w:tcPr>
            <w:tcW w:w="1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tLeast" w:line="187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  <w:t>600</w:t>
            </w:r>
          </w:p>
        </w:tc>
        <w:tc>
          <w:tcPr>
            <w:tcW w:w="20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tLeast" w:line="187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  <w:t>400</w:t>
            </w:r>
          </w:p>
        </w:tc>
        <w:tc>
          <w:tcPr>
            <w:tcW w:w="11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tLeast" w:line="187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  <w:t>400</w:t>
            </w:r>
          </w:p>
        </w:tc>
        <w:tc>
          <w:tcPr>
            <w:tcW w:w="14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  <w:tcMar>
              <w:left w:w="-5" w:type="dxa"/>
            </w:tcMar>
            <w:vAlign w:val="center"/>
          </w:tcPr>
          <w:p>
            <w:pPr>
              <w:pStyle w:val="Normal"/>
              <w:spacing w:lineRule="atLeast" w:line="187" w:before="0" w:after="0"/>
              <w:jc w:val="center"/>
              <w:rPr>
                <w:rFonts w:ascii="Arial" w:hAnsi="Arial" w:eastAsia="Times New Roman" w:cs="Arial"/>
                <w:color w:val="444444"/>
                <w:sz w:val="18"/>
                <w:szCs w:val="26"/>
                <w:lang w:eastAsia="pl-PL"/>
              </w:rPr>
            </w:pPr>
            <w:r>
              <w:rPr>
                <w:rFonts w:eastAsia="Times New Roman" w:cs="Arial" w:ascii="Arial" w:hAnsi="Arial"/>
                <w:color w:val="444444"/>
                <w:sz w:val="18"/>
                <w:szCs w:val="26"/>
                <w:lang w:eastAsia="pl-PL"/>
              </w:rPr>
              <w:t>400+100n</w:t>
            </w:r>
          </w:p>
        </w:tc>
      </w:tr>
    </w:tbl>
    <w:p>
      <w:pPr>
        <w:pStyle w:val="Normal"/>
        <w:spacing w:lineRule="auto" w:line="360"/>
        <w:jc w:val="both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projekcie należy zastosować znaki o wymiarach dla grupy znaków małych, kategoria informacyjne zgodnie z tabelą powyżej tj. długość podstawy 600 mm, wysokość 600 + 150n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Oznakowanie poziome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Zastosowanie oznakowanie poziome: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miejscu lokalizacji przejścia dla pieszych zastosować znak poziomy P-10 „Przejście dla pieszych” (szerokość przejścia dla pieszych wynosi 4,0m).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Oznakowanie należy wykonać zgodnie z załączonym planem sytuacyjnym (załącznik graficzny - Plan organizacji ruchu). 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Znak C-13/C-16 - 2 szt.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Znak C 13a - 2 szt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Znaik D-6 - 2 szt.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Słupki do mocowania znaków - 4 szt.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Farba do malowanie znaków poziomych barwy białej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Oznakowanie poziome - płyty ostrzegawcze typu "BRAJL"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Przy krawędziach chodnika w pobliżu przejścia dla pieszych projektuję się płyty ostrzegawcze typu "BRAJL", montowane bez ingerencji w istniejącą nawierzchnie. Płyta w o wymiarach 60x50 cm, Strukturę płyty stanowią wypustki o średnicy 20 mm i wysokości 6 mm rozłożone równomiernie na powierzchni płyty w odstępach około 50 mm, które sprawiają, że jest ona doskonale wyczuwalna pod stopami. Płyty w kolorze żółtym. 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Ponadto projektuję się chodnik po obu stronach jezdni, jako dojście to terenu. Przy granicach, bezpośrednio przy przejściu dla pieszych należy zastosować obniżenie obrzeży betonowych do poziomu jezdni, w celu zwiększenia bezpieczeństwa poruszania się. 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Termin wprowadzenia ruchu</w:t>
      </w:r>
    </w:p>
    <w:p>
      <w:pPr>
        <w:pStyle w:val="Normal"/>
        <w:spacing w:lineRule="auto" w:line="36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Planowany termin wprowadzenia stałej organizacji ruchu nastąpi wraz z zakończeniem wszelkich planowanych robót budowlanych w ramach inwestycji tj. 30.09.2019 r.</w:t>
      </w:r>
    </w:p>
    <w:p>
      <w:pPr>
        <w:pStyle w:val="Normal"/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 w:before="0" w:after="200"/>
        <w:jc w:val="both"/>
        <w:rPr/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1417" w:right="1417" w:header="708" w:top="1417" w:footer="708" w:bottom="1417" w:gutter="0"/>
      <w:pgNumType w:fmt="decimal"/>
      <w:formProt w:val="false"/>
      <w:titlePg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Open Sans">
    <w:altName w:val="Segoe UI"/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740620124"/>
    </w:sdtPr>
    <w:sdtContent>
      <w:p>
        <w:pPr>
          <w:pStyle w:val="Stopka"/>
          <w:pBdr>
            <w:top w:val="single" w:sz="4" w:space="1" w:color="00000A"/>
          </w:pBdr>
          <w:jc w:val="right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pBdr>
        <w:bottom w:val="single" w:sz="4" w:space="1" w:color="00000A"/>
      </w:pBdr>
      <w:jc w:val="center"/>
      <w:rPr>
        <w:sz w:val="18"/>
        <w:szCs w:val="18"/>
      </w:rPr>
    </w:pPr>
    <w:r>
      <w:rPr>
        <w:sz w:val="18"/>
        <w:szCs w:val="18"/>
      </w:rPr>
      <w:t>Plan Organizacji Ruchu - Rewitalizacja terenów nad Utratą w Chodakowie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0"/>
  <w:defaultTabStop w:val="708"/>
  <w:compat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d3816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semiHidden/>
    <w:qFormat/>
    <w:rsid w:val="00ad2a2f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ad2a2f"/>
    <w:rPr/>
  </w:style>
  <w:style w:type="character" w:styleId="Strong">
    <w:name w:val="Strong"/>
    <w:basedOn w:val="DefaultParagraphFont"/>
    <w:uiPriority w:val="22"/>
    <w:qFormat/>
    <w:rsid w:val="00b72dbd"/>
    <w:rPr>
      <w:b/>
      <w:bCs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ascii="Arial" w:hAnsi="Arial" w:cs="Symbol"/>
      <w:sz w:val="20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Wingdings"/>
    </w:rPr>
  </w:style>
  <w:style w:type="character" w:styleId="ListLabel10">
    <w:name w:val="ListLabel 10"/>
    <w:qFormat/>
    <w:rPr>
      <w:rFonts w:cs="Symbol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Wingdings"/>
    </w:rPr>
  </w:style>
  <w:style w:type="character" w:styleId="ListLabel13">
    <w:name w:val="ListLabel 13"/>
    <w:qFormat/>
    <w:rPr>
      <w:rFonts w:cs="Symbol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Wingdings"/>
    </w:rPr>
  </w:style>
  <w:style w:type="character" w:styleId="ListLabel16">
    <w:name w:val="ListLabel 16"/>
    <w:qFormat/>
    <w:rPr>
      <w:rFonts w:ascii="Arial" w:hAnsi="Arial" w:cs="Symbol"/>
      <w:sz w:val="20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Wingdings"/>
    </w:rPr>
  </w:style>
  <w:style w:type="character" w:styleId="ListLabel19">
    <w:name w:val="ListLabel 19"/>
    <w:qFormat/>
    <w:rPr>
      <w:rFonts w:cs="Symbol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Wingdings"/>
    </w:rPr>
  </w:style>
  <w:style w:type="character" w:styleId="ListLabel22">
    <w:name w:val="ListLabel 22"/>
    <w:qFormat/>
    <w:rPr>
      <w:rFonts w:cs="Symbol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Wingdings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2d7bcb"/>
    <w:pPr>
      <w:spacing w:before="0" w:after="200"/>
      <w:ind w:left="720" w:hanging="0"/>
      <w:contextualSpacing/>
    </w:pPr>
    <w:rPr/>
  </w:style>
  <w:style w:type="paragraph" w:styleId="Gwka">
    <w:name w:val="Header"/>
    <w:basedOn w:val="Normal"/>
    <w:link w:val="NagwekZnak"/>
    <w:uiPriority w:val="99"/>
    <w:semiHidden/>
    <w:unhideWhenUsed/>
    <w:rsid w:val="00ad2a2f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ad2a2f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NormalWeb">
    <w:name w:val="Normal (Web)"/>
    <w:basedOn w:val="Normal"/>
    <w:uiPriority w:val="99"/>
    <w:unhideWhenUsed/>
    <w:qFormat/>
    <w:rsid w:val="00b72dbd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Application>LibreOffice/5.1.4.2$Windows_X86_64 LibreOffice_project/f99d75f39f1c57ebdd7ffc5f42867c12031db97a</Application>
  <Pages>5</Pages>
  <Words>1056</Words>
  <Characters>6671</Characters>
  <CharactersWithSpaces>7694</CharactersWithSpaces>
  <Paragraphs>136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2018-03-24T15:02:00Z</dcterms:created>
  <dc:creator>User</dc:creator>
  <dc:description/>
  <dc:language>pl-PL</dc:language>
  <cp:lastModifiedBy/>
  <cp:lastPrinted>2018-04-24T11:55:14Z</cp:lastPrinted>
  <dcterms:modified xsi:type="dcterms:W3CDTF">2018-04-24T11:58:21Z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